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157E3" w14:textId="37B70DE6" w:rsidR="00EE6786" w:rsidRPr="00FC2C21" w:rsidRDefault="001C46AA">
      <w:pPr>
        <w:rPr>
          <w:b/>
          <w:bCs/>
          <w:sz w:val="24"/>
          <w:szCs w:val="24"/>
        </w:rPr>
      </w:pPr>
      <w:r w:rsidRPr="002B3522">
        <w:rPr>
          <w:noProof/>
          <w:lang w:eastAsia="en-GB"/>
        </w:rPr>
        <w:drawing>
          <wp:anchor distT="0" distB="0" distL="114300" distR="114300" simplePos="0" relativeHeight="251659264" behindDoc="1" locked="0" layoutInCell="1" allowOverlap="1" wp14:anchorId="7FB8C921" wp14:editId="304DEB69">
            <wp:simplePos x="0" y="0"/>
            <wp:positionH relativeFrom="column">
              <wp:posOffset>7635240</wp:posOffset>
            </wp:positionH>
            <wp:positionV relativeFrom="paragraph">
              <wp:posOffset>-388620</wp:posOffset>
            </wp:positionV>
            <wp:extent cx="1481933" cy="920750"/>
            <wp:effectExtent l="0" t="0" r="4445" b="0"/>
            <wp:wrapNone/>
            <wp:docPr id="2" name="Picture 2" descr="\\OPTIMUSPRIME\Desktop$\gracepp\Desktop\headed paper\zZYrleJLWYGb9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USPRIME\Desktop$\gracepp\Desktop\headed paper\zZYrleJLWYGb9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933"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51C" w:rsidRPr="00FC2C21">
        <w:rPr>
          <w:b/>
          <w:bCs/>
          <w:sz w:val="24"/>
          <w:szCs w:val="24"/>
        </w:rPr>
        <w:t>Equality Objectives 2023-2</w:t>
      </w:r>
      <w:r w:rsidR="00FC2C21" w:rsidRPr="00FC2C21">
        <w:rPr>
          <w:b/>
          <w:bCs/>
          <w:sz w:val="24"/>
          <w:szCs w:val="24"/>
        </w:rPr>
        <w:t>6</w:t>
      </w:r>
    </w:p>
    <w:p w14:paraId="2F720A29" w14:textId="3C68EF60" w:rsidR="00BC551C" w:rsidRPr="00FC2C21" w:rsidRDefault="00BC551C">
      <w:pPr>
        <w:rPr>
          <w:b/>
          <w:bCs/>
        </w:rPr>
      </w:pPr>
      <w:r w:rsidRPr="00FC2C21">
        <w:rPr>
          <w:b/>
          <w:bCs/>
        </w:rPr>
        <w:t xml:space="preserve">School: </w:t>
      </w:r>
      <w:r w:rsidR="00B007F4">
        <w:rPr>
          <w:b/>
          <w:bCs/>
        </w:rPr>
        <w:t>Easton CE Academy</w:t>
      </w:r>
      <w:bookmarkStart w:id="0" w:name="_GoBack"/>
      <w:bookmarkEnd w:id="0"/>
    </w:p>
    <w:p w14:paraId="0ACCD9EE" w14:textId="77777777" w:rsidR="00906718" w:rsidRDefault="00906718"/>
    <w:p w14:paraId="54DAC989" w14:textId="0B1C1B0F" w:rsidR="00D16AC9" w:rsidRPr="00D16AC9" w:rsidRDefault="005C25F0" w:rsidP="005C25F0">
      <w:pPr>
        <w:rPr>
          <w:rFonts w:ascii="Arial" w:eastAsia="Times New Roman" w:hAnsi="Arial" w:cs="Arial"/>
          <w:color w:val="242424"/>
          <w:kern w:val="0"/>
          <w:sz w:val="24"/>
          <w:szCs w:val="24"/>
          <w:lang w:eastAsia="en-GB"/>
          <w14:ligatures w14:val="none"/>
        </w:rPr>
      </w:pPr>
      <w:r>
        <w:t xml:space="preserve">Through </w:t>
      </w:r>
      <w:r w:rsidR="00674100">
        <w:t>analysing</w:t>
      </w:r>
      <w:r>
        <w:t xml:space="preserve"> </w:t>
      </w:r>
      <w:r w:rsidR="00674100">
        <w:t xml:space="preserve">pupil data for relevant protected characteristics, the following objectives have been set: </w:t>
      </w:r>
    </w:p>
    <w:tbl>
      <w:tblPr>
        <w:tblStyle w:val="TableGrid"/>
        <w:tblW w:w="14312" w:type="dxa"/>
        <w:tblLook w:val="04A0" w:firstRow="1" w:lastRow="0" w:firstColumn="1" w:lastColumn="0" w:noHBand="0" w:noVBand="1"/>
      </w:tblPr>
      <w:tblGrid>
        <w:gridCol w:w="380"/>
        <w:gridCol w:w="1989"/>
        <w:gridCol w:w="1555"/>
        <w:gridCol w:w="1365"/>
        <w:gridCol w:w="3099"/>
        <w:gridCol w:w="3067"/>
        <w:gridCol w:w="2857"/>
      </w:tblGrid>
      <w:tr w:rsidR="00BC551C" w14:paraId="5C19EE6D" w14:textId="77777777" w:rsidTr="00FC2C21">
        <w:tc>
          <w:tcPr>
            <w:tcW w:w="381" w:type="dxa"/>
          </w:tcPr>
          <w:p w14:paraId="3D45A605" w14:textId="77777777" w:rsidR="00BC551C" w:rsidRDefault="00BC551C"/>
        </w:tc>
        <w:tc>
          <w:tcPr>
            <w:tcW w:w="1999" w:type="dxa"/>
            <w:shd w:val="clear" w:color="auto" w:fill="C5E0B3" w:themeFill="accent6" w:themeFillTint="66"/>
          </w:tcPr>
          <w:p w14:paraId="33FEE6C2" w14:textId="04AF308E" w:rsidR="00BC551C" w:rsidRDefault="00BC551C">
            <w:r>
              <w:t>Objective</w:t>
            </w:r>
          </w:p>
        </w:tc>
        <w:tc>
          <w:tcPr>
            <w:tcW w:w="1494" w:type="dxa"/>
            <w:shd w:val="clear" w:color="auto" w:fill="C5E0B3" w:themeFill="accent6" w:themeFillTint="66"/>
          </w:tcPr>
          <w:p w14:paraId="6E5960BE" w14:textId="754250EF" w:rsidR="00BC551C" w:rsidRDefault="00BC551C">
            <w:r>
              <w:t xml:space="preserve">Protected characteristics </w:t>
            </w:r>
          </w:p>
        </w:tc>
        <w:tc>
          <w:tcPr>
            <w:tcW w:w="1366" w:type="dxa"/>
            <w:shd w:val="clear" w:color="auto" w:fill="C5E0B3" w:themeFill="accent6" w:themeFillTint="66"/>
          </w:tcPr>
          <w:p w14:paraId="0C60DFE5" w14:textId="7123E9F4" w:rsidR="00BC551C" w:rsidRDefault="00BC551C">
            <w:r>
              <w:t>Target group</w:t>
            </w:r>
          </w:p>
        </w:tc>
        <w:tc>
          <w:tcPr>
            <w:tcW w:w="3119" w:type="dxa"/>
            <w:shd w:val="clear" w:color="auto" w:fill="C5E0B3" w:themeFill="accent6" w:themeFillTint="66"/>
          </w:tcPr>
          <w:p w14:paraId="54E76B41" w14:textId="7E4A886E" w:rsidR="00BC551C" w:rsidRDefault="00BC551C">
            <w:r>
              <w:t>Why</w:t>
            </w:r>
          </w:p>
        </w:tc>
        <w:tc>
          <w:tcPr>
            <w:tcW w:w="3083" w:type="dxa"/>
            <w:shd w:val="clear" w:color="auto" w:fill="C5E0B3" w:themeFill="accent6" w:themeFillTint="66"/>
          </w:tcPr>
          <w:p w14:paraId="4D0A8117" w14:textId="0D3C0E0C" w:rsidR="00BC551C" w:rsidRDefault="00BC551C">
            <w:r>
              <w:t>How it will be achieved</w:t>
            </w:r>
          </w:p>
        </w:tc>
        <w:tc>
          <w:tcPr>
            <w:tcW w:w="2870" w:type="dxa"/>
            <w:shd w:val="clear" w:color="auto" w:fill="C5E0B3" w:themeFill="accent6" w:themeFillTint="66"/>
          </w:tcPr>
          <w:p w14:paraId="27073F73" w14:textId="268216FC" w:rsidR="00BC551C" w:rsidRDefault="00BC551C">
            <w:r>
              <w:t>Intended outcome</w:t>
            </w:r>
          </w:p>
        </w:tc>
      </w:tr>
      <w:tr w:rsidR="00B007F4" w14:paraId="736F7A9D" w14:textId="77777777" w:rsidTr="00BC551C">
        <w:tc>
          <w:tcPr>
            <w:tcW w:w="381" w:type="dxa"/>
          </w:tcPr>
          <w:p w14:paraId="69DCA8A8" w14:textId="73E55C49" w:rsidR="00B007F4" w:rsidRDefault="00B007F4" w:rsidP="00B007F4">
            <w:r>
              <w:t>1</w:t>
            </w:r>
          </w:p>
        </w:tc>
        <w:tc>
          <w:tcPr>
            <w:tcW w:w="1999" w:type="dxa"/>
          </w:tcPr>
          <w:p w14:paraId="513F25CC" w14:textId="37C02650" w:rsidR="00B007F4" w:rsidRDefault="00B007F4" w:rsidP="00B007F4">
            <w:r w:rsidRPr="005042AD">
              <w:t>1</w:t>
            </w:r>
          </w:p>
        </w:tc>
        <w:tc>
          <w:tcPr>
            <w:tcW w:w="1494" w:type="dxa"/>
          </w:tcPr>
          <w:p w14:paraId="5CDEC938" w14:textId="618A9F94" w:rsidR="00B007F4" w:rsidRDefault="00B007F4" w:rsidP="00B007F4">
            <w:r w:rsidRPr="005042AD">
              <w:t>To increase the percentage of boys reaching the expected standard or above in reading and writing.</w:t>
            </w:r>
          </w:p>
        </w:tc>
        <w:tc>
          <w:tcPr>
            <w:tcW w:w="1366" w:type="dxa"/>
          </w:tcPr>
          <w:p w14:paraId="1608DFD4" w14:textId="1E18ECC6" w:rsidR="00B007F4" w:rsidRDefault="00B007F4" w:rsidP="00B007F4">
            <w:r w:rsidRPr="005042AD">
              <w:rPr>
                <w:sz w:val="18"/>
                <w:szCs w:val="18"/>
              </w:rPr>
              <w:t>Gender</w:t>
            </w:r>
          </w:p>
        </w:tc>
        <w:tc>
          <w:tcPr>
            <w:tcW w:w="3119" w:type="dxa"/>
          </w:tcPr>
          <w:p w14:paraId="7E99EB1B" w14:textId="3D403302" w:rsidR="00B007F4" w:rsidRDefault="00B007F4" w:rsidP="00B007F4">
            <w:r w:rsidRPr="005042AD">
              <w:rPr>
                <w:sz w:val="18"/>
                <w:szCs w:val="18"/>
              </w:rPr>
              <w:t>Boys</w:t>
            </w:r>
          </w:p>
        </w:tc>
        <w:tc>
          <w:tcPr>
            <w:tcW w:w="3083" w:type="dxa"/>
          </w:tcPr>
          <w:p w14:paraId="71DD6F81" w14:textId="62F1ADB7" w:rsidR="00B007F4" w:rsidRDefault="00B007F4" w:rsidP="00B007F4">
            <w:r w:rsidRPr="005042AD">
              <w:t>Data demonstrates that this group are making less than expected progress in all year groups across the school. Further adaptations to teaching and learning need to be made in order to help them make at least expected progress so the gap between girls and boys is reduced.</w:t>
            </w:r>
          </w:p>
        </w:tc>
        <w:tc>
          <w:tcPr>
            <w:tcW w:w="2870" w:type="dxa"/>
          </w:tcPr>
          <w:p w14:paraId="6CA22516" w14:textId="77777777" w:rsidR="00B007F4" w:rsidRPr="005042AD" w:rsidRDefault="00B007F4" w:rsidP="00B007F4">
            <w:r w:rsidRPr="005042AD">
              <w:t xml:space="preserve">Pre-teach for identified pupils. Targeted interventions for identified pupils. </w:t>
            </w:r>
          </w:p>
          <w:p w14:paraId="2375B481" w14:textId="77777777" w:rsidR="00B007F4" w:rsidRPr="005042AD" w:rsidRDefault="00B007F4" w:rsidP="00B007F4">
            <w:r w:rsidRPr="005042AD">
              <w:t xml:space="preserve">Close monitoring of attainment and progress. </w:t>
            </w:r>
          </w:p>
          <w:p w14:paraId="570B9C13" w14:textId="759A87E9" w:rsidR="00B007F4" w:rsidRDefault="00B007F4" w:rsidP="00B007F4">
            <w:r w:rsidRPr="005042AD">
              <w:t>Review of texts used.</w:t>
            </w:r>
          </w:p>
        </w:tc>
      </w:tr>
      <w:tr w:rsidR="00B007F4" w14:paraId="76CC90FE" w14:textId="77777777" w:rsidTr="00BC551C">
        <w:tc>
          <w:tcPr>
            <w:tcW w:w="381" w:type="dxa"/>
          </w:tcPr>
          <w:p w14:paraId="16BFC097" w14:textId="41126291" w:rsidR="00B007F4" w:rsidRDefault="00B007F4" w:rsidP="00B007F4">
            <w:r>
              <w:t>2</w:t>
            </w:r>
          </w:p>
        </w:tc>
        <w:tc>
          <w:tcPr>
            <w:tcW w:w="1999" w:type="dxa"/>
          </w:tcPr>
          <w:p w14:paraId="554C1587" w14:textId="445CE7AF" w:rsidR="00B007F4" w:rsidRDefault="00B007F4" w:rsidP="00B007F4">
            <w:r w:rsidRPr="005042AD">
              <w:t>2</w:t>
            </w:r>
          </w:p>
        </w:tc>
        <w:tc>
          <w:tcPr>
            <w:tcW w:w="1494" w:type="dxa"/>
          </w:tcPr>
          <w:p w14:paraId="3B311019" w14:textId="77777777" w:rsidR="00B007F4" w:rsidRPr="005042AD" w:rsidRDefault="00B007F4" w:rsidP="00B007F4">
            <w:r w:rsidRPr="005042AD">
              <w:t xml:space="preserve">To ensure all staff are confident and skilled at supporting pupils with SEMH needs so that the </w:t>
            </w:r>
            <w:r>
              <w:t>time spent out of class is reduced</w:t>
            </w:r>
            <w:r w:rsidRPr="005042AD">
              <w:t xml:space="preserve"> </w:t>
            </w:r>
          </w:p>
          <w:p w14:paraId="64435BA8" w14:textId="77777777" w:rsidR="00B007F4" w:rsidRPr="005042AD" w:rsidRDefault="00B007F4" w:rsidP="00B007F4"/>
          <w:p w14:paraId="7680E609" w14:textId="77777777" w:rsidR="00B007F4" w:rsidRDefault="00B007F4" w:rsidP="00B007F4"/>
        </w:tc>
        <w:tc>
          <w:tcPr>
            <w:tcW w:w="1366" w:type="dxa"/>
          </w:tcPr>
          <w:p w14:paraId="4E49E71A" w14:textId="07202E4D" w:rsidR="00B007F4" w:rsidRDefault="00B007F4" w:rsidP="00B007F4">
            <w:r w:rsidRPr="005042AD">
              <w:rPr>
                <w:sz w:val="18"/>
                <w:szCs w:val="18"/>
              </w:rPr>
              <w:t>SEN/disability</w:t>
            </w:r>
          </w:p>
        </w:tc>
        <w:tc>
          <w:tcPr>
            <w:tcW w:w="3119" w:type="dxa"/>
          </w:tcPr>
          <w:p w14:paraId="62E2D07B" w14:textId="789CF385" w:rsidR="00B007F4" w:rsidRDefault="00B007F4" w:rsidP="00B007F4">
            <w:r w:rsidRPr="005042AD">
              <w:rPr>
                <w:sz w:val="18"/>
                <w:szCs w:val="18"/>
              </w:rPr>
              <w:t>SEN</w:t>
            </w:r>
          </w:p>
        </w:tc>
        <w:tc>
          <w:tcPr>
            <w:tcW w:w="3083" w:type="dxa"/>
          </w:tcPr>
          <w:p w14:paraId="38373452" w14:textId="77777777" w:rsidR="00B007F4" w:rsidRDefault="00B007F4" w:rsidP="00B007F4">
            <w:r>
              <w:t>Incidents of children having to leave the class to visit the classroom are mainly pupils with SEN or SEMH.</w:t>
            </w:r>
          </w:p>
          <w:p w14:paraId="3264E2DD" w14:textId="38DF0322" w:rsidR="00B007F4" w:rsidRDefault="00B007F4" w:rsidP="00B007F4">
            <w:r w:rsidRPr="005042AD">
              <w:t>100% of SEND pupils who were excluded had identifiable SEMH needs.</w:t>
            </w:r>
          </w:p>
        </w:tc>
        <w:tc>
          <w:tcPr>
            <w:tcW w:w="2870" w:type="dxa"/>
          </w:tcPr>
          <w:p w14:paraId="5E8804EB" w14:textId="77777777" w:rsidR="00B007F4" w:rsidRPr="005042AD" w:rsidRDefault="00B007F4" w:rsidP="00B007F4">
            <w:r w:rsidRPr="005042AD">
              <w:t xml:space="preserve">Review de-escalation training with all staff and induct new staff accordingly. </w:t>
            </w:r>
          </w:p>
          <w:p w14:paraId="233195D9" w14:textId="77777777" w:rsidR="00B007F4" w:rsidRPr="005042AD" w:rsidRDefault="00B007F4" w:rsidP="00B007F4">
            <w:r w:rsidRPr="005042AD">
              <w:t xml:space="preserve">Continually review the behaviour policy and Pivotal approach. </w:t>
            </w:r>
          </w:p>
          <w:p w14:paraId="404E5D94" w14:textId="77777777" w:rsidR="00B007F4" w:rsidRPr="005042AD" w:rsidRDefault="00B007F4" w:rsidP="00B007F4">
            <w:r w:rsidRPr="005042AD">
              <w:t xml:space="preserve">SENCO to complete regular SEND reviews with teachers and adjust/set new targets accordingly. </w:t>
            </w:r>
          </w:p>
          <w:p w14:paraId="63600C81" w14:textId="1968D601" w:rsidR="00B007F4" w:rsidRDefault="00B007F4" w:rsidP="00B007F4">
            <w:r w:rsidRPr="005042AD">
              <w:t>To ensure all staff are confident and skilled at supporting pupils with SEMH needs so that the number of exclusions amongst this group is reduced. To support children with managing their emotions and managing challenging situations.</w:t>
            </w:r>
            <w:r>
              <w:t xml:space="preserve"> </w:t>
            </w:r>
            <w:r w:rsidRPr="005042AD">
              <w:t>Sustain the learning mentor team and their collective skills. Work with the School Mental Health Team to strengthen teacher and support staff skills in supporting children with SEMH.</w:t>
            </w:r>
          </w:p>
        </w:tc>
      </w:tr>
      <w:tr w:rsidR="00B007F4" w14:paraId="66138F89" w14:textId="77777777" w:rsidTr="00BC551C">
        <w:tc>
          <w:tcPr>
            <w:tcW w:w="381" w:type="dxa"/>
          </w:tcPr>
          <w:p w14:paraId="20E36234" w14:textId="795C2CDD" w:rsidR="00B007F4" w:rsidRDefault="00B007F4" w:rsidP="00B007F4">
            <w:r>
              <w:t>3</w:t>
            </w:r>
          </w:p>
        </w:tc>
        <w:tc>
          <w:tcPr>
            <w:tcW w:w="1999" w:type="dxa"/>
          </w:tcPr>
          <w:p w14:paraId="4E3B172B" w14:textId="65E692AB" w:rsidR="00B007F4" w:rsidRDefault="00B007F4" w:rsidP="00B007F4">
            <w:r w:rsidRPr="005042AD">
              <w:t>3</w:t>
            </w:r>
          </w:p>
        </w:tc>
        <w:tc>
          <w:tcPr>
            <w:tcW w:w="1494" w:type="dxa"/>
          </w:tcPr>
          <w:p w14:paraId="5D437916" w14:textId="59958DB3" w:rsidR="00B007F4" w:rsidRDefault="00B007F4" w:rsidP="00B007F4">
            <w:r w:rsidRPr="005042AD">
              <w:t>To ensure all stakeholders, including, children adults (who work in school) and parents are aware of everyone’s responsibilities in eliminating discrimination  prohibited by the equality act 2010.</w:t>
            </w:r>
          </w:p>
        </w:tc>
        <w:tc>
          <w:tcPr>
            <w:tcW w:w="1366" w:type="dxa"/>
          </w:tcPr>
          <w:p w14:paraId="4C498D81" w14:textId="5969F53A" w:rsidR="00B007F4" w:rsidRDefault="00B007F4" w:rsidP="00B007F4">
            <w:r w:rsidRPr="005042AD">
              <w:rPr>
                <w:sz w:val="18"/>
                <w:szCs w:val="18"/>
              </w:rPr>
              <w:t>Disability, gender, age, relationships, race, religion</w:t>
            </w:r>
          </w:p>
        </w:tc>
        <w:tc>
          <w:tcPr>
            <w:tcW w:w="3119" w:type="dxa"/>
          </w:tcPr>
          <w:p w14:paraId="4BF4A1E4" w14:textId="50F18CCF" w:rsidR="00B007F4" w:rsidRDefault="00B007F4" w:rsidP="00B007F4">
            <w:r w:rsidRPr="005042AD">
              <w:rPr>
                <w:sz w:val="18"/>
                <w:szCs w:val="18"/>
              </w:rPr>
              <w:t>Protected characteristics</w:t>
            </w:r>
          </w:p>
        </w:tc>
        <w:tc>
          <w:tcPr>
            <w:tcW w:w="3083" w:type="dxa"/>
          </w:tcPr>
          <w:p w14:paraId="5DB3B9C3" w14:textId="77777777" w:rsidR="00B007F4" w:rsidRPr="005042AD" w:rsidRDefault="00B007F4" w:rsidP="00B007F4">
            <w:r w:rsidRPr="005042AD">
              <w:t xml:space="preserve">Incidents recorded on </w:t>
            </w:r>
            <w:proofErr w:type="spellStart"/>
            <w:r w:rsidRPr="005042AD">
              <w:t>cpoms</w:t>
            </w:r>
            <w:proofErr w:type="spellEnd"/>
            <w:r w:rsidRPr="005042AD">
              <w:t xml:space="preserve"> show there is some incidents of derogatory </w:t>
            </w:r>
            <w:r>
              <w:t xml:space="preserve">language used around different </w:t>
            </w:r>
            <w:r w:rsidRPr="005042AD">
              <w:t>protected characteristics.</w:t>
            </w:r>
          </w:p>
          <w:p w14:paraId="02F3766F" w14:textId="52EA6281" w:rsidR="00B007F4" w:rsidRDefault="00B007F4" w:rsidP="00B007F4">
            <w:r w:rsidRPr="005042AD">
              <w:t>The majority of our community is BAME and it is important our curriculum has strong representation to help raise aspirations.</w:t>
            </w:r>
          </w:p>
        </w:tc>
        <w:tc>
          <w:tcPr>
            <w:tcW w:w="2870" w:type="dxa"/>
          </w:tcPr>
          <w:p w14:paraId="04D1C197" w14:textId="77777777" w:rsidR="00B007F4" w:rsidRPr="005042AD" w:rsidRDefault="00B007F4" w:rsidP="00B007F4">
            <w:pPr>
              <w:shd w:val="clear" w:color="auto" w:fill="FFFFFF"/>
              <w:rPr>
                <w:rFonts w:cstheme="minorHAnsi"/>
              </w:rPr>
            </w:pPr>
            <w:r w:rsidRPr="005042AD">
              <w:rPr>
                <w:rFonts w:cstheme="minorHAnsi"/>
              </w:rPr>
              <w:t>Ensure our PSHE curriculum addresses discrimination.</w:t>
            </w:r>
          </w:p>
          <w:p w14:paraId="7DFC5F58" w14:textId="77777777" w:rsidR="00B007F4" w:rsidRPr="005042AD" w:rsidRDefault="00B007F4" w:rsidP="00B007F4">
            <w:pPr>
              <w:shd w:val="clear" w:color="auto" w:fill="FFFFFF"/>
              <w:rPr>
                <w:rFonts w:cstheme="minorHAnsi"/>
              </w:rPr>
            </w:pPr>
            <w:r w:rsidRPr="005042AD">
              <w:rPr>
                <w:rFonts w:cstheme="minorHAnsi"/>
              </w:rPr>
              <w:t>Assemblies planned to teach children around their rights and responsibilities.</w:t>
            </w:r>
          </w:p>
          <w:p w14:paraId="55E2BA97" w14:textId="77777777" w:rsidR="00B007F4" w:rsidRPr="005042AD" w:rsidRDefault="00B007F4" w:rsidP="00B007F4">
            <w:pPr>
              <w:shd w:val="clear" w:color="auto" w:fill="FFFFFF"/>
              <w:rPr>
                <w:rFonts w:cstheme="minorHAnsi"/>
              </w:rPr>
            </w:pPr>
            <w:r w:rsidRPr="005042AD">
              <w:rPr>
                <w:rFonts w:cstheme="minorHAnsi"/>
              </w:rPr>
              <w:t>Make sure there is representation of all protected characteristics in our curriculum.</w:t>
            </w:r>
          </w:p>
          <w:p w14:paraId="761D0400" w14:textId="77777777" w:rsidR="00B007F4" w:rsidRPr="005042AD" w:rsidRDefault="00B007F4" w:rsidP="00B007F4">
            <w:pPr>
              <w:shd w:val="clear" w:color="auto" w:fill="FFFFFF"/>
              <w:rPr>
                <w:rFonts w:cstheme="minorHAnsi"/>
              </w:rPr>
            </w:pPr>
            <w:r w:rsidRPr="005042AD">
              <w:rPr>
                <w:rFonts w:cstheme="minorHAnsi"/>
              </w:rPr>
              <w:t>Have staff training around DEI</w:t>
            </w:r>
          </w:p>
          <w:p w14:paraId="51132231" w14:textId="522F6956" w:rsidR="00B007F4" w:rsidRDefault="00B007F4" w:rsidP="00B007F4">
            <w:r w:rsidRPr="005042AD">
              <w:rPr>
                <w:rFonts w:cstheme="minorHAnsi"/>
              </w:rPr>
              <w:t>Set up parents meetings around DEI and discuss at parent forum and coffee mornings.</w:t>
            </w:r>
          </w:p>
        </w:tc>
      </w:tr>
      <w:tr w:rsidR="00BC551C" w14:paraId="143E2F93" w14:textId="77777777" w:rsidTr="00BC551C">
        <w:tc>
          <w:tcPr>
            <w:tcW w:w="381" w:type="dxa"/>
          </w:tcPr>
          <w:p w14:paraId="17767488" w14:textId="60321278" w:rsidR="00BC551C" w:rsidRDefault="00BC551C">
            <w:r>
              <w:t>4</w:t>
            </w:r>
          </w:p>
        </w:tc>
        <w:tc>
          <w:tcPr>
            <w:tcW w:w="1999" w:type="dxa"/>
          </w:tcPr>
          <w:p w14:paraId="36613F40" w14:textId="77777777" w:rsidR="00BC551C" w:rsidRDefault="00BC551C"/>
        </w:tc>
        <w:tc>
          <w:tcPr>
            <w:tcW w:w="1494" w:type="dxa"/>
          </w:tcPr>
          <w:p w14:paraId="2752C97E" w14:textId="77777777" w:rsidR="00BC551C" w:rsidRDefault="00BC551C"/>
        </w:tc>
        <w:tc>
          <w:tcPr>
            <w:tcW w:w="1366" w:type="dxa"/>
          </w:tcPr>
          <w:p w14:paraId="20ED086E" w14:textId="77777777" w:rsidR="00BC551C" w:rsidRDefault="00BC551C"/>
        </w:tc>
        <w:tc>
          <w:tcPr>
            <w:tcW w:w="3119" w:type="dxa"/>
          </w:tcPr>
          <w:p w14:paraId="4BC45CC8" w14:textId="3CC65D10" w:rsidR="00BC551C" w:rsidRDefault="00BC551C"/>
        </w:tc>
        <w:tc>
          <w:tcPr>
            <w:tcW w:w="3083" w:type="dxa"/>
          </w:tcPr>
          <w:p w14:paraId="47283907" w14:textId="77777777" w:rsidR="00BC551C" w:rsidRDefault="00BC551C"/>
        </w:tc>
        <w:tc>
          <w:tcPr>
            <w:tcW w:w="2870" w:type="dxa"/>
          </w:tcPr>
          <w:p w14:paraId="6D20893F" w14:textId="77777777" w:rsidR="00BC551C" w:rsidRDefault="00BC551C"/>
        </w:tc>
      </w:tr>
    </w:tbl>
    <w:p w14:paraId="21A59E2D" w14:textId="77777777" w:rsidR="00BC551C" w:rsidRDefault="00BC551C"/>
    <w:sectPr w:rsidR="00BC551C" w:rsidSect="00BC55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E46A1"/>
    <w:multiLevelType w:val="multilevel"/>
    <w:tmpl w:val="A3F4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1C"/>
    <w:rsid w:val="001C46AA"/>
    <w:rsid w:val="00357E2C"/>
    <w:rsid w:val="005C25F0"/>
    <w:rsid w:val="00674100"/>
    <w:rsid w:val="00720E60"/>
    <w:rsid w:val="007636AA"/>
    <w:rsid w:val="00906718"/>
    <w:rsid w:val="0092733F"/>
    <w:rsid w:val="00B007F4"/>
    <w:rsid w:val="00BC551C"/>
    <w:rsid w:val="00C844B3"/>
    <w:rsid w:val="00D16AC9"/>
    <w:rsid w:val="00EE6786"/>
    <w:rsid w:val="00F8410D"/>
    <w:rsid w:val="00FC2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CC57"/>
  <w15:chartTrackingRefBased/>
  <w15:docId w15:val="{BE720406-C6D0-4BC1-A131-9DBDD9B8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6AC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84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1026">
      <w:bodyDiv w:val="1"/>
      <w:marLeft w:val="0"/>
      <w:marRight w:val="0"/>
      <w:marTop w:val="0"/>
      <w:marBottom w:val="0"/>
      <w:divBdr>
        <w:top w:val="none" w:sz="0" w:space="0" w:color="auto"/>
        <w:left w:val="none" w:sz="0" w:space="0" w:color="auto"/>
        <w:bottom w:val="none" w:sz="0" w:space="0" w:color="auto"/>
        <w:right w:val="none" w:sz="0" w:space="0" w:color="auto"/>
      </w:divBdr>
    </w:div>
    <w:div w:id="86737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e7bee0-9ad9-4d13-8423-34599492bb06">
      <Terms xmlns="http://schemas.microsoft.com/office/infopath/2007/PartnerControls"/>
    </lcf76f155ced4ddcb4097134ff3c332f>
    <TaxCatchAll xmlns="2f5115d0-6b4e-40ca-ad26-c89f863fb0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94E1186615DB46B55A5415E4C8D8A8" ma:contentTypeVersion="16" ma:contentTypeDescription="Create a new document." ma:contentTypeScope="" ma:versionID="f7f7171621c995a4e859d9469cad8f8e">
  <xsd:schema xmlns:xsd="http://www.w3.org/2001/XMLSchema" xmlns:xs="http://www.w3.org/2001/XMLSchema" xmlns:p="http://schemas.microsoft.com/office/2006/metadata/properties" xmlns:ns2="1de7bee0-9ad9-4d13-8423-34599492bb06" xmlns:ns3="2f5115d0-6b4e-40ca-ad26-c89f863fb0e2" targetNamespace="http://schemas.microsoft.com/office/2006/metadata/properties" ma:root="true" ma:fieldsID="01bbebfdbf8cabef7257eaa3874b371f" ns2:_="" ns3:_="">
    <xsd:import namespace="1de7bee0-9ad9-4d13-8423-34599492bb06"/>
    <xsd:import namespace="2f5115d0-6b4e-40ca-ad26-c89f863fb0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7bee0-9ad9-4d13-8423-34599492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115d0-6b4e-40ca-ad26-c89f863fb0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5cf31fa-9da0-4394-aa81-413166cd6e08}" ma:internalName="TaxCatchAll" ma:showField="CatchAllData" ma:web="2f5115d0-6b4e-40ca-ad26-c89f863fb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B22C5-C926-49DC-8816-2308C5616774}">
  <ds:schemaRefs>
    <ds:schemaRef ds:uri="http://purl.org/dc/terms/"/>
    <ds:schemaRef ds:uri="http://www.w3.org/XML/1998/namespace"/>
    <ds:schemaRef ds:uri="1de7bee0-9ad9-4d13-8423-34599492bb06"/>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2f5115d0-6b4e-40ca-ad26-c89f863fb0e2"/>
  </ds:schemaRefs>
</ds:datastoreItem>
</file>

<file path=customXml/itemProps2.xml><?xml version="1.0" encoding="utf-8"?>
<ds:datastoreItem xmlns:ds="http://schemas.openxmlformats.org/officeDocument/2006/customXml" ds:itemID="{648CE7D8-BC3E-43E1-AA68-6AD319851D0A}">
  <ds:schemaRefs>
    <ds:schemaRef ds:uri="http://schemas.microsoft.com/sharepoint/v3/contenttype/forms"/>
  </ds:schemaRefs>
</ds:datastoreItem>
</file>

<file path=customXml/itemProps3.xml><?xml version="1.0" encoding="utf-8"?>
<ds:datastoreItem xmlns:ds="http://schemas.openxmlformats.org/officeDocument/2006/customXml" ds:itemID="{57B54225-920C-4B79-951F-A8EEDC539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7bee0-9ad9-4d13-8423-34599492bb06"/>
    <ds:schemaRef ds:uri="2f5115d0-6b4e-40ca-ad26-c89f863fb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Peregrine</dc:creator>
  <cp:keywords/>
  <dc:description/>
  <cp:lastModifiedBy>David Kooyman</cp:lastModifiedBy>
  <cp:revision>2</cp:revision>
  <dcterms:created xsi:type="dcterms:W3CDTF">2023-11-22T09:50:00Z</dcterms:created>
  <dcterms:modified xsi:type="dcterms:W3CDTF">2023-11-22T09:50:00Z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0x010100B294E1186615DB46B55A5415E4C8D8A8</vt:lpwstr>
  </property>
</Properties>
</file>